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2F3" w:rsidRDefault="006066C9" w:rsidP="006422F3">
      <w:r>
        <w:rPr>
          <w:b/>
          <w:bCs/>
          <w:noProof/>
          <w:lang w:eastAsia="en-GB"/>
        </w:rPr>
        <w:drawing>
          <wp:anchor distT="0" distB="0" distL="114300" distR="114300" simplePos="0" relativeHeight="251659264" behindDoc="1" locked="0" layoutInCell="1" allowOverlap="1">
            <wp:simplePos x="0" y="0"/>
            <wp:positionH relativeFrom="column">
              <wp:posOffset>4000500</wp:posOffset>
            </wp:positionH>
            <wp:positionV relativeFrom="paragraph">
              <wp:posOffset>-276225</wp:posOffset>
            </wp:positionV>
            <wp:extent cx="1950720" cy="1342390"/>
            <wp:effectExtent l="0" t="0" r="0" b="0"/>
            <wp:wrapTight wrapText="bothSides">
              <wp:wrapPolygon edited="0">
                <wp:start x="0" y="0"/>
                <wp:lineTo x="0" y="21150"/>
                <wp:lineTo x="21305" y="21150"/>
                <wp:lineTo x="21305" y="0"/>
                <wp:lineTo x="0" y="0"/>
              </wp:wrapPolygon>
            </wp:wrapTight>
            <wp:docPr id="3" name="Picture 3" descr="cid:aat993e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aat993ef7"/>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950720" cy="13423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0" behindDoc="1" locked="0" layoutInCell="1" allowOverlap="1">
            <wp:simplePos x="0" y="0"/>
            <wp:positionH relativeFrom="column">
              <wp:posOffset>-428625</wp:posOffset>
            </wp:positionH>
            <wp:positionV relativeFrom="paragraph">
              <wp:posOffset>-381000</wp:posOffset>
            </wp:positionV>
            <wp:extent cx="1485900" cy="1359535"/>
            <wp:effectExtent l="0" t="0" r="0" b="0"/>
            <wp:wrapTight wrapText="bothSides">
              <wp:wrapPolygon edited="0">
                <wp:start x="0" y="0"/>
                <wp:lineTo x="0" y="21186"/>
                <wp:lineTo x="21323" y="21186"/>
                <wp:lineTo x="213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16438" t="31937" r="58923" b="39790"/>
                    <a:stretch>
                      <a:fillRect/>
                    </a:stretch>
                  </pic:blipFill>
                  <pic:spPr bwMode="auto">
                    <a:xfrm>
                      <a:off x="0" y="0"/>
                      <a:ext cx="1485900" cy="1359535"/>
                    </a:xfrm>
                    <a:prstGeom prst="rect">
                      <a:avLst/>
                    </a:prstGeom>
                    <a:noFill/>
                  </pic:spPr>
                </pic:pic>
              </a:graphicData>
            </a:graphic>
            <wp14:sizeRelH relativeFrom="page">
              <wp14:pctWidth>0</wp14:pctWidth>
            </wp14:sizeRelH>
            <wp14:sizeRelV relativeFrom="page">
              <wp14:pctHeight>0</wp14:pctHeight>
            </wp14:sizeRelV>
          </wp:anchor>
        </w:drawing>
      </w:r>
    </w:p>
    <w:p w:rsidR="006422F3" w:rsidRDefault="006422F3" w:rsidP="006422F3"/>
    <w:p w:rsidR="006422F3" w:rsidRDefault="006422F3" w:rsidP="006422F3"/>
    <w:p w:rsidR="006422F3" w:rsidRDefault="006422F3" w:rsidP="006422F3"/>
    <w:p w:rsidR="006422F3" w:rsidRDefault="006422F3" w:rsidP="006422F3">
      <w:pPr>
        <w:spacing w:after="0" w:line="240" w:lineRule="auto"/>
      </w:pPr>
    </w:p>
    <w:p w:rsidR="006422F3" w:rsidRDefault="006422F3" w:rsidP="006422F3">
      <w:pPr>
        <w:spacing w:after="0" w:line="240" w:lineRule="auto"/>
      </w:pPr>
    </w:p>
    <w:p w:rsidR="006422F3" w:rsidRDefault="006422F3" w:rsidP="006422F3">
      <w:pPr>
        <w:spacing w:after="0" w:line="240" w:lineRule="auto"/>
      </w:pPr>
    </w:p>
    <w:p w:rsidR="006066C9" w:rsidRDefault="006066C9" w:rsidP="006422F3">
      <w:pPr>
        <w:spacing w:after="0" w:line="240" w:lineRule="auto"/>
      </w:pPr>
    </w:p>
    <w:p w:rsidR="006066C9" w:rsidRDefault="006066C9" w:rsidP="006422F3">
      <w:pPr>
        <w:spacing w:after="0" w:line="240" w:lineRule="auto"/>
      </w:pPr>
    </w:p>
    <w:p w:rsidR="006422F3" w:rsidRDefault="006422F3" w:rsidP="006422F3">
      <w:pPr>
        <w:spacing w:after="0" w:line="240" w:lineRule="auto"/>
      </w:pPr>
    </w:p>
    <w:p w:rsidR="006422F3" w:rsidRDefault="006422F3" w:rsidP="006422F3">
      <w:pPr>
        <w:spacing w:after="0" w:line="240" w:lineRule="auto"/>
      </w:pPr>
    </w:p>
    <w:p w:rsidR="006422F3" w:rsidRPr="000373C3" w:rsidRDefault="000373C3" w:rsidP="006422F3">
      <w:pPr>
        <w:spacing w:after="0" w:line="240" w:lineRule="auto"/>
        <w:jc w:val="center"/>
        <w:rPr>
          <w:rFonts w:ascii="Tahoma" w:hAnsi="Tahoma" w:cs="Tahoma"/>
          <w:b/>
          <w:color w:val="365F91" w:themeColor="accent1" w:themeShade="BF"/>
          <w:sz w:val="40"/>
          <w:szCs w:val="40"/>
        </w:rPr>
      </w:pPr>
      <w:r w:rsidRPr="000373C3">
        <w:rPr>
          <w:rFonts w:ascii="Tahoma" w:hAnsi="Tahoma" w:cs="Tahoma"/>
          <w:b/>
          <w:color w:val="365F91" w:themeColor="accent1" w:themeShade="BF"/>
          <w:sz w:val="40"/>
          <w:szCs w:val="40"/>
        </w:rPr>
        <w:t>QUEEN’S PARK ACADEMY</w:t>
      </w:r>
    </w:p>
    <w:p w:rsidR="006422F3" w:rsidRPr="000373C3" w:rsidRDefault="007B72AE" w:rsidP="006422F3">
      <w:pPr>
        <w:spacing w:after="0" w:line="240" w:lineRule="auto"/>
        <w:jc w:val="center"/>
        <w:rPr>
          <w:rFonts w:ascii="Tahoma" w:hAnsi="Tahoma" w:cs="Tahoma"/>
          <w:b/>
          <w:color w:val="365F91" w:themeColor="accent1" w:themeShade="BF"/>
          <w:sz w:val="40"/>
          <w:szCs w:val="40"/>
        </w:rPr>
      </w:pPr>
      <w:r w:rsidRPr="000373C3">
        <w:rPr>
          <w:rFonts w:ascii="Tahoma" w:hAnsi="Tahoma" w:cs="Tahoma"/>
          <w:b/>
          <w:color w:val="365F91" w:themeColor="accent1" w:themeShade="BF"/>
          <w:sz w:val="40"/>
          <w:szCs w:val="40"/>
        </w:rPr>
        <w:t>Charging</w:t>
      </w:r>
      <w:r w:rsidR="000373C3" w:rsidRPr="000373C3">
        <w:rPr>
          <w:rFonts w:ascii="Tahoma" w:hAnsi="Tahoma" w:cs="Tahoma"/>
          <w:b/>
          <w:color w:val="365F91" w:themeColor="accent1" w:themeShade="BF"/>
          <w:sz w:val="40"/>
          <w:szCs w:val="40"/>
        </w:rPr>
        <w:t xml:space="preserve"> </w:t>
      </w:r>
      <w:r w:rsidR="006422F3" w:rsidRPr="000373C3">
        <w:rPr>
          <w:rFonts w:ascii="Tahoma" w:hAnsi="Tahoma" w:cs="Tahoma"/>
          <w:b/>
          <w:color w:val="365F91" w:themeColor="accent1" w:themeShade="BF"/>
          <w:sz w:val="40"/>
          <w:szCs w:val="40"/>
        </w:rPr>
        <w:t>Policy</w:t>
      </w:r>
    </w:p>
    <w:p w:rsidR="006422F3" w:rsidRDefault="006422F3" w:rsidP="006422F3">
      <w:pPr>
        <w:spacing w:after="0" w:line="240" w:lineRule="auto"/>
        <w:jc w:val="center"/>
        <w:rPr>
          <w:rFonts w:ascii="Tahoma" w:hAnsi="Tahoma" w:cs="Tahoma"/>
          <w:b/>
          <w:color w:val="17365D" w:themeColor="text2" w:themeShade="BF"/>
          <w:sz w:val="40"/>
          <w:szCs w:val="40"/>
        </w:rPr>
      </w:pPr>
    </w:p>
    <w:p w:rsidR="006422F3" w:rsidRDefault="006422F3" w:rsidP="006422F3">
      <w:pPr>
        <w:spacing w:after="0" w:line="240" w:lineRule="auto"/>
        <w:jc w:val="center"/>
        <w:rPr>
          <w:rFonts w:ascii="Tahoma" w:hAnsi="Tahoma" w:cs="Tahoma"/>
          <w:b/>
          <w:color w:val="17365D" w:themeColor="text2" w:themeShade="BF"/>
          <w:sz w:val="40"/>
          <w:szCs w:val="40"/>
        </w:rPr>
      </w:pPr>
    </w:p>
    <w:p w:rsidR="006422F3" w:rsidRDefault="006422F3" w:rsidP="006422F3">
      <w:pPr>
        <w:spacing w:after="0" w:line="240" w:lineRule="auto"/>
        <w:jc w:val="center"/>
        <w:rPr>
          <w:rFonts w:ascii="Tahoma" w:hAnsi="Tahoma" w:cs="Tahoma"/>
          <w:b/>
          <w:color w:val="17365D" w:themeColor="text2" w:themeShade="BF"/>
          <w:sz w:val="40"/>
          <w:szCs w:val="40"/>
        </w:rPr>
      </w:pPr>
    </w:p>
    <w:p w:rsidR="006422F3" w:rsidRPr="006422F3" w:rsidRDefault="006422F3" w:rsidP="006422F3">
      <w:pPr>
        <w:spacing w:after="0" w:line="240" w:lineRule="auto"/>
        <w:jc w:val="center"/>
        <w:rPr>
          <w:rFonts w:ascii="Tahoma" w:hAnsi="Tahoma" w:cs="Tahoma"/>
          <w:b/>
          <w:color w:val="17365D" w:themeColor="text2" w:themeShade="BF"/>
          <w:sz w:val="40"/>
          <w:szCs w:val="40"/>
        </w:rPr>
      </w:pPr>
    </w:p>
    <w:p w:rsidR="006422F3" w:rsidRDefault="006422F3" w:rsidP="006422F3">
      <w:pPr>
        <w:spacing w:after="0" w:line="240" w:lineRule="auto"/>
      </w:pPr>
    </w:p>
    <w:p w:rsidR="006422F3" w:rsidRDefault="006422F3" w:rsidP="006422F3">
      <w:pPr>
        <w:spacing w:after="0" w:line="240" w:lineRule="auto"/>
      </w:pPr>
    </w:p>
    <w:p w:rsidR="006422F3" w:rsidRDefault="006422F3" w:rsidP="006422F3">
      <w:pPr>
        <w:spacing w:after="0" w:line="240" w:lineRule="auto"/>
      </w:pPr>
    </w:p>
    <w:p w:rsidR="006422F3" w:rsidRDefault="006422F3" w:rsidP="006422F3">
      <w:pPr>
        <w:spacing w:after="0" w:line="240" w:lineRule="auto"/>
      </w:pPr>
    </w:p>
    <w:p w:rsidR="006422F3" w:rsidRDefault="006422F3" w:rsidP="006422F3">
      <w:pPr>
        <w:spacing w:after="0" w:line="240" w:lineRule="auto"/>
      </w:pPr>
    </w:p>
    <w:p w:rsidR="006422F3" w:rsidRDefault="006422F3" w:rsidP="006422F3">
      <w:pPr>
        <w:spacing w:after="0" w:line="240" w:lineRule="auto"/>
      </w:pPr>
    </w:p>
    <w:p w:rsidR="006422F3" w:rsidRDefault="006422F3" w:rsidP="006422F3">
      <w:pPr>
        <w:spacing w:after="0" w:line="240" w:lineRule="auto"/>
      </w:pPr>
    </w:p>
    <w:p w:rsidR="006422F3" w:rsidRDefault="006422F3" w:rsidP="006422F3">
      <w:pPr>
        <w:spacing w:after="0" w:line="240" w:lineRule="auto"/>
      </w:pPr>
    </w:p>
    <w:p w:rsidR="006422F3" w:rsidRDefault="006422F3" w:rsidP="006422F3">
      <w:pPr>
        <w:spacing w:after="0" w:line="240" w:lineRule="auto"/>
      </w:pPr>
    </w:p>
    <w:p w:rsidR="006422F3" w:rsidRDefault="006422F3" w:rsidP="006422F3">
      <w:pPr>
        <w:spacing w:after="0" w:line="240" w:lineRule="auto"/>
      </w:pPr>
    </w:p>
    <w:p w:rsidR="006422F3" w:rsidRDefault="006422F3" w:rsidP="006422F3">
      <w:pPr>
        <w:spacing w:after="0" w:line="240" w:lineRule="auto"/>
      </w:pPr>
    </w:p>
    <w:p w:rsidR="006422F3" w:rsidRDefault="006422F3" w:rsidP="006422F3">
      <w:pPr>
        <w:spacing w:after="0" w:line="240" w:lineRule="auto"/>
      </w:pPr>
    </w:p>
    <w:p w:rsidR="006422F3" w:rsidRDefault="006422F3" w:rsidP="006422F3">
      <w:pPr>
        <w:spacing w:after="0" w:line="240" w:lineRule="auto"/>
      </w:pPr>
    </w:p>
    <w:p w:rsidR="006422F3" w:rsidRDefault="006422F3" w:rsidP="006422F3">
      <w:pPr>
        <w:spacing w:after="0" w:line="240" w:lineRule="auto"/>
      </w:pPr>
    </w:p>
    <w:p w:rsidR="006422F3" w:rsidRDefault="006422F3" w:rsidP="006422F3">
      <w:pPr>
        <w:spacing w:after="0" w:line="240" w:lineRule="auto"/>
      </w:pPr>
    </w:p>
    <w:p w:rsidR="006422F3" w:rsidRDefault="006422F3" w:rsidP="006422F3">
      <w:pPr>
        <w:spacing w:after="0" w:line="240" w:lineRule="auto"/>
      </w:pPr>
    </w:p>
    <w:p w:rsidR="006422F3" w:rsidRDefault="006422F3" w:rsidP="006422F3">
      <w:pPr>
        <w:spacing w:after="0" w:line="240" w:lineRule="auto"/>
      </w:pPr>
    </w:p>
    <w:p w:rsidR="006422F3" w:rsidRDefault="006422F3" w:rsidP="006422F3">
      <w:pPr>
        <w:spacing w:after="0" w:line="240" w:lineRule="auto"/>
      </w:pPr>
    </w:p>
    <w:p w:rsidR="006422F3" w:rsidRPr="000373C3" w:rsidRDefault="000373C3" w:rsidP="006422F3">
      <w:pPr>
        <w:spacing w:after="0" w:line="240" w:lineRule="auto"/>
        <w:jc w:val="center"/>
        <w:rPr>
          <w:rFonts w:ascii="Tahoma" w:hAnsi="Tahoma" w:cs="Tahoma"/>
          <w:b/>
          <w:color w:val="365F91" w:themeColor="accent1" w:themeShade="BF"/>
        </w:rPr>
      </w:pPr>
      <w:r w:rsidRPr="000373C3">
        <w:rPr>
          <w:rFonts w:ascii="Tahoma" w:hAnsi="Tahoma" w:cs="Tahoma"/>
          <w:b/>
          <w:color w:val="365F91" w:themeColor="accent1" w:themeShade="BF"/>
        </w:rPr>
        <w:t>High Expectations lead to High Achievers</w:t>
      </w:r>
    </w:p>
    <w:p w:rsidR="000373C3" w:rsidRDefault="000373C3" w:rsidP="006422F3">
      <w:pPr>
        <w:spacing w:after="0" w:line="240" w:lineRule="auto"/>
        <w:jc w:val="center"/>
        <w:rPr>
          <w:rFonts w:ascii="Tahoma" w:hAnsi="Tahoma" w:cs="Tahoma"/>
          <w:b/>
          <w:color w:val="365F91" w:themeColor="accent1" w:themeShade="BF"/>
        </w:rPr>
      </w:pPr>
      <w:r w:rsidRPr="000373C3">
        <w:rPr>
          <w:rFonts w:ascii="Tahoma" w:hAnsi="Tahoma" w:cs="Tahoma"/>
          <w:b/>
          <w:color w:val="365F91" w:themeColor="accent1" w:themeShade="BF"/>
        </w:rPr>
        <w:t>Part of the Ambitions Academies Trust</w:t>
      </w:r>
    </w:p>
    <w:p w:rsidR="00B25590" w:rsidRDefault="00B25590" w:rsidP="006422F3">
      <w:pPr>
        <w:spacing w:after="0" w:line="240" w:lineRule="auto"/>
        <w:jc w:val="center"/>
        <w:rPr>
          <w:rFonts w:ascii="Tahoma" w:hAnsi="Tahoma" w:cs="Tahoma"/>
          <w:b/>
          <w:color w:val="365F91" w:themeColor="accent1" w:themeShade="BF"/>
        </w:rPr>
      </w:pPr>
    </w:p>
    <w:p w:rsidR="00B25590" w:rsidRDefault="00B25590" w:rsidP="00B25590">
      <w:pPr>
        <w:spacing w:after="0" w:line="240" w:lineRule="auto"/>
        <w:jc w:val="right"/>
        <w:rPr>
          <w:rFonts w:ascii="Tahoma" w:hAnsi="Tahoma" w:cs="Tahoma"/>
          <w:b/>
          <w:color w:val="365F91" w:themeColor="accent1" w:themeShade="BF"/>
        </w:rPr>
      </w:pPr>
      <w:bookmarkStart w:id="0" w:name="_GoBack"/>
      <w:r>
        <w:rPr>
          <w:rFonts w:ascii="Arial" w:eastAsia="Calibri" w:hAnsi="Arial" w:cs="Arial"/>
          <w:noProof/>
          <w:sz w:val="15"/>
          <w:szCs w:val="15"/>
          <w:lang w:eastAsia="en-GB"/>
        </w:rPr>
        <w:drawing>
          <wp:inline distT="0" distB="0" distL="0" distR="0">
            <wp:extent cx="942975" cy="78638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8460" cy="790962"/>
                    </a:xfrm>
                    <a:prstGeom prst="rect">
                      <a:avLst/>
                    </a:prstGeom>
                    <a:noFill/>
                  </pic:spPr>
                </pic:pic>
              </a:graphicData>
            </a:graphic>
          </wp:inline>
        </w:drawing>
      </w:r>
      <w:bookmarkEnd w:id="0"/>
    </w:p>
    <w:p w:rsidR="00B25590" w:rsidRDefault="00B25590" w:rsidP="006422F3">
      <w:pPr>
        <w:spacing w:after="0" w:line="240" w:lineRule="auto"/>
        <w:jc w:val="center"/>
        <w:rPr>
          <w:rFonts w:ascii="Tahoma" w:hAnsi="Tahoma" w:cs="Tahoma"/>
          <w:b/>
          <w:color w:val="365F91" w:themeColor="accent1" w:themeShade="BF"/>
        </w:rPr>
      </w:pPr>
    </w:p>
    <w:p w:rsidR="00B25590" w:rsidRPr="000373C3" w:rsidRDefault="00B25590" w:rsidP="00B25590">
      <w:pPr>
        <w:spacing w:after="0" w:line="240" w:lineRule="auto"/>
        <w:jc w:val="right"/>
        <w:rPr>
          <w:rFonts w:ascii="Tahoma" w:hAnsi="Tahoma" w:cs="Tahoma"/>
          <w:b/>
          <w:color w:val="365F91" w:themeColor="accent1" w:themeShade="BF"/>
          <w:sz w:val="18"/>
          <w:szCs w:val="18"/>
        </w:rPr>
      </w:pPr>
    </w:p>
    <w:p w:rsidR="00044DE7" w:rsidRPr="006066C9" w:rsidRDefault="00044DE7" w:rsidP="00044DE7">
      <w:pPr>
        <w:jc w:val="both"/>
        <w:rPr>
          <w:rFonts w:ascii="Tahoma" w:hAnsi="Tahoma" w:cs="Tahoma"/>
        </w:rPr>
      </w:pPr>
      <w:r w:rsidRPr="006066C9">
        <w:rPr>
          <w:rFonts w:ascii="Tahoma" w:hAnsi="Tahoma" w:cs="Tahoma"/>
        </w:rPr>
        <w:t xml:space="preserve">The </w:t>
      </w:r>
      <w:r w:rsidR="000373C3" w:rsidRPr="006066C9">
        <w:rPr>
          <w:rFonts w:ascii="Tahoma" w:hAnsi="Tahoma" w:cs="Tahoma"/>
        </w:rPr>
        <w:t>Academy</w:t>
      </w:r>
      <w:r w:rsidR="007D5C23" w:rsidRPr="006066C9">
        <w:rPr>
          <w:rFonts w:ascii="Tahoma" w:hAnsi="Tahoma" w:cs="Tahoma"/>
        </w:rPr>
        <w:t xml:space="preserve"> Advisory Committee</w:t>
      </w:r>
      <w:r w:rsidRPr="006066C9">
        <w:rPr>
          <w:rFonts w:ascii="Tahoma" w:hAnsi="Tahoma" w:cs="Tahoma"/>
        </w:rPr>
        <w:t xml:space="preserve"> </w:t>
      </w:r>
      <w:r w:rsidR="007D5C23" w:rsidRPr="006066C9">
        <w:rPr>
          <w:rFonts w:ascii="Tahoma" w:hAnsi="Tahoma" w:cs="Tahoma"/>
        </w:rPr>
        <w:t xml:space="preserve">(AAC) </w:t>
      </w:r>
      <w:r w:rsidRPr="006066C9">
        <w:rPr>
          <w:rFonts w:ascii="Tahoma" w:hAnsi="Tahoma" w:cs="Tahoma"/>
        </w:rPr>
        <w:t xml:space="preserve">of </w:t>
      </w:r>
      <w:r w:rsidR="007D5C23" w:rsidRPr="006066C9">
        <w:rPr>
          <w:rFonts w:ascii="Tahoma" w:hAnsi="Tahoma" w:cs="Tahoma"/>
        </w:rPr>
        <w:t>Queen’s Park</w:t>
      </w:r>
      <w:r w:rsidRPr="006066C9">
        <w:rPr>
          <w:rFonts w:ascii="Tahoma" w:hAnsi="Tahoma" w:cs="Tahoma"/>
        </w:rPr>
        <w:t xml:space="preserve"> Academy accepts the following principles in respect of its Charging Policy.</w:t>
      </w:r>
    </w:p>
    <w:p w:rsidR="00044DE7" w:rsidRPr="006066C9" w:rsidRDefault="00044DE7" w:rsidP="00044DE7">
      <w:pPr>
        <w:numPr>
          <w:ilvl w:val="0"/>
          <w:numId w:val="14"/>
        </w:numPr>
        <w:spacing w:after="0" w:line="240" w:lineRule="auto"/>
        <w:rPr>
          <w:rFonts w:ascii="Tahoma" w:hAnsi="Tahoma" w:cs="Tahoma"/>
          <w:b/>
          <w:color w:val="365F91" w:themeColor="accent1" w:themeShade="BF"/>
        </w:rPr>
      </w:pPr>
      <w:r w:rsidRPr="006066C9">
        <w:rPr>
          <w:rFonts w:ascii="Tahoma" w:hAnsi="Tahoma" w:cs="Tahoma"/>
          <w:b/>
          <w:color w:val="365F91" w:themeColor="accent1" w:themeShade="BF"/>
        </w:rPr>
        <w:t xml:space="preserve"> Education in Schools Hours:</w:t>
      </w:r>
    </w:p>
    <w:p w:rsidR="00044DE7" w:rsidRPr="006066C9" w:rsidRDefault="00044DE7" w:rsidP="00044DE7">
      <w:pPr>
        <w:ind w:left="360"/>
        <w:jc w:val="both"/>
        <w:rPr>
          <w:rFonts w:ascii="Tahoma" w:hAnsi="Tahoma" w:cs="Tahoma"/>
        </w:rPr>
      </w:pPr>
      <w:r w:rsidRPr="006066C9">
        <w:rPr>
          <w:rFonts w:ascii="Tahoma" w:hAnsi="Tahoma" w:cs="Tahoma"/>
        </w:rPr>
        <w:t>To expect parents to provide school clothing i.</w:t>
      </w:r>
      <w:r w:rsidR="007D5C23" w:rsidRPr="006066C9">
        <w:rPr>
          <w:rFonts w:ascii="Tahoma" w:hAnsi="Tahoma" w:cs="Tahoma"/>
        </w:rPr>
        <w:t>e. uniform, PE kit, Weather Prot</w:t>
      </w:r>
      <w:r w:rsidRPr="006066C9">
        <w:rPr>
          <w:rFonts w:ascii="Tahoma" w:hAnsi="Tahoma" w:cs="Tahoma"/>
        </w:rPr>
        <w:t>ection.</w:t>
      </w:r>
    </w:p>
    <w:p w:rsidR="00044DE7" w:rsidRPr="006066C9" w:rsidRDefault="00044DE7" w:rsidP="00044DE7">
      <w:pPr>
        <w:numPr>
          <w:ilvl w:val="0"/>
          <w:numId w:val="14"/>
        </w:numPr>
        <w:spacing w:after="0" w:line="240" w:lineRule="auto"/>
        <w:rPr>
          <w:rFonts w:ascii="Tahoma" w:hAnsi="Tahoma" w:cs="Tahoma"/>
          <w:b/>
          <w:color w:val="365F91" w:themeColor="accent1" w:themeShade="BF"/>
        </w:rPr>
      </w:pPr>
      <w:r w:rsidRPr="006066C9">
        <w:rPr>
          <w:rFonts w:ascii="Tahoma" w:hAnsi="Tahoma" w:cs="Tahoma"/>
          <w:b/>
          <w:color w:val="365F91" w:themeColor="accent1" w:themeShade="BF"/>
        </w:rPr>
        <w:t>Voluntary Contributions:</w:t>
      </w:r>
    </w:p>
    <w:p w:rsidR="00044DE7" w:rsidRPr="006066C9" w:rsidRDefault="007D5C23" w:rsidP="00044DE7">
      <w:pPr>
        <w:ind w:left="360"/>
        <w:rPr>
          <w:rFonts w:ascii="Tahoma" w:hAnsi="Tahoma" w:cs="Tahoma"/>
        </w:rPr>
      </w:pPr>
      <w:r w:rsidRPr="006066C9">
        <w:rPr>
          <w:rFonts w:ascii="Tahoma" w:hAnsi="Tahoma" w:cs="Tahoma"/>
        </w:rPr>
        <w:t xml:space="preserve">The </w:t>
      </w:r>
      <w:r w:rsidRPr="006066C9">
        <w:rPr>
          <w:rFonts w:ascii="Tahoma" w:hAnsi="Tahoma" w:cs="Tahoma"/>
        </w:rPr>
        <w:t>AAC</w:t>
      </w:r>
      <w:r w:rsidRPr="006066C9">
        <w:rPr>
          <w:rFonts w:ascii="Tahoma" w:hAnsi="Tahoma" w:cs="Tahoma"/>
        </w:rPr>
        <w:t xml:space="preserve"> of Queen’s Park Academy </w:t>
      </w:r>
      <w:r w:rsidR="00044DE7" w:rsidRPr="006066C9">
        <w:rPr>
          <w:rFonts w:ascii="Tahoma" w:hAnsi="Tahoma" w:cs="Tahoma"/>
        </w:rPr>
        <w:t xml:space="preserve">recognise the valuable contribution that the wide range of additional activities including trips, clubs and residential experiences can make towards pupils’ education.  In order for these to continue as in the past, the </w:t>
      </w:r>
      <w:r w:rsidRPr="006066C9">
        <w:rPr>
          <w:rFonts w:ascii="Tahoma" w:hAnsi="Tahoma" w:cs="Tahoma"/>
        </w:rPr>
        <w:t>AAC</w:t>
      </w:r>
      <w:r w:rsidR="00044DE7" w:rsidRPr="006066C9">
        <w:rPr>
          <w:rFonts w:ascii="Tahoma" w:hAnsi="Tahoma" w:cs="Tahoma"/>
        </w:rPr>
        <w:t xml:space="preserve">, through the </w:t>
      </w:r>
      <w:r w:rsidRPr="006066C9">
        <w:rPr>
          <w:rFonts w:ascii="Tahoma" w:hAnsi="Tahoma" w:cs="Tahoma"/>
        </w:rPr>
        <w:t>Associate Principal</w:t>
      </w:r>
      <w:r w:rsidR="00044DE7" w:rsidRPr="006066C9">
        <w:rPr>
          <w:rFonts w:ascii="Tahoma" w:hAnsi="Tahoma" w:cs="Tahoma"/>
        </w:rPr>
        <w:t>, will invite voluntary contributions for the benefit of the school or in support of such school activities.</w:t>
      </w:r>
    </w:p>
    <w:p w:rsidR="00044DE7" w:rsidRPr="006066C9" w:rsidRDefault="00044DE7" w:rsidP="00044DE7">
      <w:pPr>
        <w:ind w:left="360"/>
        <w:rPr>
          <w:rFonts w:ascii="Tahoma" w:hAnsi="Tahoma" w:cs="Tahoma"/>
        </w:rPr>
      </w:pPr>
      <w:r w:rsidRPr="006066C9">
        <w:rPr>
          <w:rFonts w:ascii="Tahoma" w:hAnsi="Tahoma" w:cs="Tahoma"/>
        </w:rPr>
        <w:t>It is understood that the contributions are genuinely voluntary and that registered pupils will not be treated differently according to whether or not their parents have contributed in response to a request.</w:t>
      </w:r>
    </w:p>
    <w:p w:rsidR="00044DE7" w:rsidRPr="006066C9" w:rsidRDefault="00044DE7" w:rsidP="00044DE7">
      <w:pPr>
        <w:ind w:left="360"/>
        <w:rPr>
          <w:rFonts w:ascii="Tahoma" w:hAnsi="Tahoma" w:cs="Tahoma"/>
        </w:rPr>
      </w:pPr>
      <w:r w:rsidRPr="006066C9">
        <w:rPr>
          <w:rFonts w:ascii="Tahoma" w:hAnsi="Tahoma" w:cs="Tahoma"/>
        </w:rPr>
        <w:t>Any request for voluntary contributions will be made in writing and signed by the Principal.</w:t>
      </w:r>
    </w:p>
    <w:p w:rsidR="00044DE7" w:rsidRPr="006066C9" w:rsidRDefault="00044DE7" w:rsidP="00044DE7">
      <w:pPr>
        <w:numPr>
          <w:ilvl w:val="0"/>
          <w:numId w:val="14"/>
        </w:numPr>
        <w:spacing w:after="0" w:line="240" w:lineRule="auto"/>
        <w:rPr>
          <w:rFonts w:ascii="Tahoma" w:hAnsi="Tahoma" w:cs="Tahoma"/>
          <w:b/>
          <w:color w:val="365F91" w:themeColor="accent1" w:themeShade="BF"/>
        </w:rPr>
      </w:pPr>
      <w:r w:rsidRPr="006066C9">
        <w:rPr>
          <w:rFonts w:ascii="Tahoma" w:hAnsi="Tahoma" w:cs="Tahoma"/>
          <w:b/>
          <w:color w:val="365F91" w:themeColor="accent1" w:themeShade="BF"/>
        </w:rPr>
        <w:t>Breakages and Fines:</w:t>
      </w:r>
    </w:p>
    <w:p w:rsidR="00044DE7" w:rsidRPr="006066C9" w:rsidRDefault="00044DE7" w:rsidP="00044DE7">
      <w:pPr>
        <w:ind w:left="360"/>
        <w:rPr>
          <w:rFonts w:ascii="Tahoma" w:hAnsi="Tahoma" w:cs="Tahoma"/>
        </w:rPr>
      </w:pPr>
      <w:r w:rsidRPr="006066C9">
        <w:rPr>
          <w:rFonts w:ascii="Tahoma" w:hAnsi="Tahoma" w:cs="Tahoma"/>
        </w:rPr>
        <w:t>The cost of repair/replacement of items of fabric damaged/broken by pupils will be charged to parents.</w:t>
      </w:r>
    </w:p>
    <w:p w:rsidR="00044DE7" w:rsidRPr="006066C9" w:rsidRDefault="00044DE7" w:rsidP="00044DE7">
      <w:pPr>
        <w:ind w:left="360"/>
        <w:rPr>
          <w:rFonts w:ascii="Tahoma" w:hAnsi="Tahoma" w:cs="Tahoma"/>
        </w:rPr>
      </w:pPr>
      <w:r w:rsidRPr="006066C9">
        <w:rPr>
          <w:rFonts w:ascii="Tahoma" w:hAnsi="Tahoma" w:cs="Tahoma"/>
        </w:rPr>
        <w:t xml:space="preserve">The cost of replacement of </w:t>
      </w:r>
      <w:proofErr w:type="gramStart"/>
      <w:r w:rsidRPr="006066C9">
        <w:rPr>
          <w:rFonts w:ascii="Tahoma" w:hAnsi="Tahoma" w:cs="Tahoma"/>
        </w:rPr>
        <w:t>lost,</w:t>
      </w:r>
      <w:proofErr w:type="gramEnd"/>
      <w:r w:rsidRPr="006066C9">
        <w:rPr>
          <w:rFonts w:ascii="Tahoma" w:hAnsi="Tahoma" w:cs="Tahoma"/>
        </w:rPr>
        <w:t xml:space="preserve"> damaged or defaced school materials/textbooks/ equipment which arises as a result of a pupil’s behaviour will be charged to parents.</w:t>
      </w:r>
    </w:p>
    <w:p w:rsidR="00044DE7" w:rsidRPr="006066C9" w:rsidRDefault="00044DE7" w:rsidP="00044DE7">
      <w:pPr>
        <w:numPr>
          <w:ilvl w:val="0"/>
          <w:numId w:val="14"/>
        </w:numPr>
        <w:spacing w:after="0" w:line="240" w:lineRule="auto"/>
        <w:rPr>
          <w:rFonts w:ascii="Tahoma" w:hAnsi="Tahoma" w:cs="Tahoma"/>
          <w:b/>
          <w:bCs/>
          <w:color w:val="365F91" w:themeColor="accent1" w:themeShade="BF"/>
        </w:rPr>
      </w:pPr>
      <w:r w:rsidRPr="006066C9">
        <w:rPr>
          <w:rFonts w:ascii="Tahoma" w:hAnsi="Tahoma" w:cs="Tahoma"/>
          <w:b/>
          <w:bCs/>
          <w:color w:val="365F91" w:themeColor="accent1" w:themeShade="BF"/>
        </w:rPr>
        <w:t>Charging for School Meals</w:t>
      </w:r>
    </w:p>
    <w:p w:rsidR="007D5C23" w:rsidRPr="006066C9" w:rsidRDefault="00044DE7" w:rsidP="007D5C23">
      <w:pPr>
        <w:ind w:left="360"/>
        <w:rPr>
          <w:rFonts w:ascii="Tahoma" w:hAnsi="Tahoma" w:cs="Tahoma"/>
          <w:b/>
          <w:bCs/>
        </w:rPr>
      </w:pPr>
      <w:r w:rsidRPr="006066C9">
        <w:rPr>
          <w:rFonts w:ascii="Tahoma" w:hAnsi="Tahoma" w:cs="Tahoma"/>
        </w:rPr>
        <w:t xml:space="preserve">The </w:t>
      </w:r>
      <w:r w:rsidR="007D5C23" w:rsidRPr="006066C9">
        <w:rPr>
          <w:rFonts w:ascii="Tahoma" w:hAnsi="Tahoma" w:cs="Tahoma"/>
        </w:rPr>
        <w:t>AAC</w:t>
      </w:r>
      <w:r w:rsidRPr="006066C9">
        <w:rPr>
          <w:rFonts w:ascii="Tahoma" w:hAnsi="Tahoma" w:cs="Tahoma"/>
        </w:rPr>
        <w:t xml:space="preserve"> will review annually the charge for school meal provision to those not entitled to Free School Meals.  This charge is reviewed by the Finance and Premises Committee when setting a budget for the next financial year.</w:t>
      </w:r>
    </w:p>
    <w:p w:rsidR="00044DE7" w:rsidRPr="006066C9" w:rsidRDefault="00044DE7" w:rsidP="007D5C23">
      <w:pPr>
        <w:pStyle w:val="ListParagraph"/>
        <w:numPr>
          <w:ilvl w:val="0"/>
          <w:numId w:val="14"/>
        </w:numPr>
        <w:rPr>
          <w:rFonts w:ascii="Tahoma" w:hAnsi="Tahoma" w:cs="Tahoma"/>
          <w:b/>
          <w:bCs/>
          <w:color w:val="365F91" w:themeColor="accent1" w:themeShade="BF"/>
        </w:rPr>
      </w:pPr>
      <w:r w:rsidRPr="006066C9">
        <w:rPr>
          <w:rFonts w:ascii="Tahoma" w:hAnsi="Tahoma" w:cs="Tahoma"/>
          <w:b/>
          <w:bCs/>
          <w:color w:val="365F91" w:themeColor="accent1" w:themeShade="BF"/>
        </w:rPr>
        <w:t>External Curriculum Provision</w:t>
      </w:r>
    </w:p>
    <w:p w:rsidR="00044DE7" w:rsidRPr="006066C9" w:rsidRDefault="00044DE7" w:rsidP="00044DE7">
      <w:pPr>
        <w:tabs>
          <w:tab w:val="left" w:pos="709"/>
          <w:tab w:val="left" w:pos="1134"/>
        </w:tabs>
        <w:ind w:left="360"/>
        <w:rPr>
          <w:rFonts w:ascii="Tahoma" w:hAnsi="Tahoma" w:cs="Tahoma"/>
          <w:b/>
          <w:bCs/>
        </w:rPr>
      </w:pPr>
      <w:r w:rsidRPr="006066C9">
        <w:rPr>
          <w:rFonts w:ascii="Tahoma" w:hAnsi="Tahoma" w:cs="Tahoma"/>
        </w:rPr>
        <w:t xml:space="preserve">The provision of bespoke education packages to educational centres/schools outside of the Trust is put together and </w:t>
      </w:r>
      <w:proofErr w:type="spellStart"/>
      <w:r w:rsidRPr="006066C9">
        <w:rPr>
          <w:rFonts w:ascii="Tahoma" w:hAnsi="Tahoma" w:cs="Tahoma"/>
        </w:rPr>
        <w:t>costed</w:t>
      </w:r>
      <w:proofErr w:type="spellEnd"/>
      <w:r w:rsidRPr="006066C9">
        <w:rPr>
          <w:rFonts w:ascii="Tahoma" w:hAnsi="Tahoma" w:cs="Tahoma"/>
        </w:rPr>
        <w:t xml:space="preserve"> by the Finance Director and approved by the </w:t>
      </w:r>
      <w:r w:rsidR="007D5C23" w:rsidRPr="006066C9">
        <w:rPr>
          <w:rFonts w:ascii="Tahoma" w:hAnsi="Tahoma" w:cs="Tahoma"/>
        </w:rPr>
        <w:t>AAC</w:t>
      </w:r>
      <w:r w:rsidRPr="006066C9">
        <w:rPr>
          <w:rFonts w:ascii="Tahoma" w:hAnsi="Tahoma" w:cs="Tahoma"/>
        </w:rPr>
        <w:t xml:space="preserve"> under the Scheme of Delegation.</w:t>
      </w:r>
    </w:p>
    <w:p w:rsidR="00044DE7" w:rsidRPr="006066C9" w:rsidRDefault="00044DE7" w:rsidP="00044DE7">
      <w:pPr>
        <w:numPr>
          <w:ilvl w:val="0"/>
          <w:numId w:val="15"/>
        </w:numPr>
        <w:tabs>
          <w:tab w:val="clear" w:pos="360"/>
          <w:tab w:val="left" w:pos="0"/>
          <w:tab w:val="num" w:pos="720"/>
        </w:tabs>
        <w:spacing w:after="0" w:line="240" w:lineRule="auto"/>
        <w:ind w:left="720"/>
        <w:rPr>
          <w:rFonts w:ascii="Tahoma" w:hAnsi="Tahoma" w:cs="Tahoma"/>
        </w:rPr>
      </w:pPr>
      <w:r w:rsidRPr="006066C9">
        <w:rPr>
          <w:rFonts w:ascii="Tahoma" w:hAnsi="Tahoma" w:cs="Tahoma"/>
        </w:rPr>
        <w:t>The scales of charges provided by the Academy through the Personalised Pupil Services are separate and reflect the difference in the provision available.  Charges are reviewed annually by the SLT and approved by the Chief Executive Officer.  These charges are by invoice on a half-termly or termly basis as appropriate.</w:t>
      </w:r>
    </w:p>
    <w:p w:rsidR="00044DE7" w:rsidRPr="006066C9" w:rsidRDefault="00044DE7" w:rsidP="00044DE7">
      <w:pPr>
        <w:tabs>
          <w:tab w:val="left" w:pos="0"/>
          <w:tab w:val="left" w:pos="709"/>
        </w:tabs>
        <w:ind w:left="360"/>
        <w:rPr>
          <w:rFonts w:ascii="Tahoma" w:hAnsi="Tahoma" w:cs="Tahoma"/>
        </w:rPr>
      </w:pPr>
    </w:p>
    <w:p w:rsidR="00044DE7" w:rsidRPr="006066C9" w:rsidRDefault="00044DE7" w:rsidP="00044DE7">
      <w:pPr>
        <w:numPr>
          <w:ilvl w:val="0"/>
          <w:numId w:val="15"/>
        </w:numPr>
        <w:tabs>
          <w:tab w:val="clear" w:pos="360"/>
          <w:tab w:val="left" w:pos="0"/>
          <w:tab w:val="num" w:pos="720"/>
        </w:tabs>
        <w:spacing w:after="0" w:line="240" w:lineRule="auto"/>
        <w:ind w:left="720"/>
        <w:rPr>
          <w:rFonts w:ascii="Tahoma" w:hAnsi="Tahoma" w:cs="Tahoma"/>
        </w:rPr>
      </w:pPr>
      <w:r w:rsidRPr="006066C9">
        <w:rPr>
          <w:rFonts w:ascii="Tahoma" w:hAnsi="Tahoma" w:cs="Tahoma"/>
        </w:rPr>
        <w:t xml:space="preserve">Provision and charges for bespoke packages are put together by the ELT, </w:t>
      </w:r>
      <w:proofErr w:type="spellStart"/>
      <w:r w:rsidRPr="006066C9">
        <w:rPr>
          <w:rFonts w:ascii="Tahoma" w:hAnsi="Tahoma" w:cs="Tahoma"/>
        </w:rPr>
        <w:t>costed</w:t>
      </w:r>
      <w:proofErr w:type="spellEnd"/>
      <w:r w:rsidRPr="006066C9">
        <w:rPr>
          <w:rFonts w:ascii="Tahoma" w:hAnsi="Tahoma" w:cs="Tahoma"/>
        </w:rPr>
        <w:t xml:space="preserve"> by the Business Management Team and approved by the Chief Executive Officer. </w:t>
      </w:r>
    </w:p>
    <w:p w:rsidR="00044DE7" w:rsidRPr="006066C9" w:rsidRDefault="00044DE7" w:rsidP="00044DE7">
      <w:pPr>
        <w:tabs>
          <w:tab w:val="left" w:pos="0"/>
          <w:tab w:val="left" w:pos="709"/>
        </w:tabs>
        <w:ind w:left="360"/>
        <w:rPr>
          <w:rFonts w:ascii="Tahoma" w:hAnsi="Tahoma" w:cs="Tahoma"/>
        </w:rPr>
      </w:pPr>
    </w:p>
    <w:p w:rsidR="00044DE7" w:rsidRPr="006066C9" w:rsidRDefault="00044DE7" w:rsidP="00044DE7">
      <w:pPr>
        <w:numPr>
          <w:ilvl w:val="0"/>
          <w:numId w:val="15"/>
        </w:numPr>
        <w:tabs>
          <w:tab w:val="clear" w:pos="360"/>
          <w:tab w:val="left" w:pos="0"/>
          <w:tab w:val="num" w:pos="720"/>
        </w:tabs>
        <w:spacing w:after="0" w:line="240" w:lineRule="auto"/>
        <w:ind w:left="720"/>
        <w:rPr>
          <w:rFonts w:ascii="Tahoma" w:hAnsi="Tahoma" w:cs="Tahoma"/>
        </w:rPr>
      </w:pPr>
      <w:r w:rsidRPr="006066C9">
        <w:rPr>
          <w:rFonts w:ascii="Tahoma" w:hAnsi="Tahoma" w:cs="Tahoma"/>
        </w:rPr>
        <w:t xml:space="preserve">Charges for special requirements authorised by the Special Educational Needs Department of </w:t>
      </w:r>
      <w:r w:rsidR="006066C9">
        <w:rPr>
          <w:rFonts w:ascii="Tahoma" w:hAnsi="Tahoma" w:cs="Tahoma"/>
        </w:rPr>
        <w:t>Bournemouth</w:t>
      </w:r>
      <w:r w:rsidRPr="006066C9">
        <w:rPr>
          <w:rFonts w:ascii="Tahoma" w:hAnsi="Tahoma" w:cs="Tahoma"/>
        </w:rPr>
        <w:t xml:space="preserve"> Borough Council are charged at the agreed rate for </w:t>
      </w:r>
      <w:r w:rsidRPr="006066C9">
        <w:rPr>
          <w:rFonts w:ascii="Tahoma" w:hAnsi="Tahoma" w:cs="Tahoma"/>
        </w:rPr>
        <w:lastRenderedPageBreak/>
        <w:t>employed staff or at cost if supply staffing is agreed.  These charges are by invoice on a half-termly or termly basis as agreed with the LA.</w:t>
      </w:r>
    </w:p>
    <w:p w:rsidR="00044DE7" w:rsidRPr="006066C9" w:rsidRDefault="00044DE7" w:rsidP="00044DE7">
      <w:pPr>
        <w:tabs>
          <w:tab w:val="left" w:pos="0"/>
          <w:tab w:val="left" w:pos="709"/>
        </w:tabs>
        <w:ind w:left="360"/>
        <w:rPr>
          <w:rFonts w:ascii="Tahoma" w:hAnsi="Tahoma" w:cs="Tahoma"/>
        </w:rPr>
      </w:pPr>
    </w:p>
    <w:p w:rsidR="00044DE7" w:rsidRPr="006066C9" w:rsidRDefault="00044DE7" w:rsidP="00044DE7">
      <w:pPr>
        <w:numPr>
          <w:ilvl w:val="0"/>
          <w:numId w:val="15"/>
        </w:numPr>
        <w:tabs>
          <w:tab w:val="clear" w:pos="360"/>
          <w:tab w:val="left" w:pos="0"/>
          <w:tab w:val="num" w:pos="720"/>
        </w:tabs>
        <w:spacing w:after="0" w:line="240" w:lineRule="auto"/>
        <w:ind w:left="720"/>
        <w:rPr>
          <w:rFonts w:ascii="Tahoma" w:hAnsi="Tahoma" w:cs="Tahoma"/>
        </w:rPr>
      </w:pPr>
      <w:r w:rsidRPr="006066C9">
        <w:rPr>
          <w:rFonts w:ascii="Tahoma" w:hAnsi="Tahoma" w:cs="Tahoma"/>
        </w:rPr>
        <w:t xml:space="preserve">Charges for training and special projects undertaken by the PPS and </w:t>
      </w:r>
      <w:proofErr w:type="spellStart"/>
      <w:r w:rsidRPr="006066C9">
        <w:rPr>
          <w:rFonts w:ascii="Tahoma" w:hAnsi="Tahoma" w:cs="Tahoma"/>
        </w:rPr>
        <w:t>costed</w:t>
      </w:r>
      <w:proofErr w:type="spellEnd"/>
      <w:r w:rsidRPr="006066C9">
        <w:rPr>
          <w:rFonts w:ascii="Tahoma" w:hAnsi="Tahoma" w:cs="Tahoma"/>
        </w:rPr>
        <w:t xml:space="preserve"> by the Business Management Team in conjunction with the Principal and agreed by the Chief Executive Officer.</w:t>
      </w:r>
    </w:p>
    <w:p w:rsidR="00044DE7" w:rsidRPr="006066C9" w:rsidRDefault="00044DE7" w:rsidP="00044DE7">
      <w:pPr>
        <w:tabs>
          <w:tab w:val="left" w:pos="0"/>
          <w:tab w:val="left" w:pos="709"/>
        </w:tabs>
        <w:rPr>
          <w:rFonts w:ascii="Tahoma" w:hAnsi="Tahoma" w:cs="Tahoma"/>
        </w:rPr>
      </w:pPr>
    </w:p>
    <w:p w:rsidR="00044DE7" w:rsidRPr="006066C9" w:rsidRDefault="00044DE7" w:rsidP="00044DE7">
      <w:pPr>
        <w:tabs>
          <w:tab w:val="left" w:pos="0"/>
          <w:tab w:val="left" w:pos="709"/>
        </w:tabs>
        <w:rPr>
          <w:rFonts w:ascii="Tahoma" w:hAnsi="Tahoma" w:cs="Tahoma"/>
        </w:rPr>
      </w:pPr>
    </w:p>
    <w:p w:rsidR="00044DE7" w:rsidRPr="00B25590" w:rsidRDefault="00044DE7" w:rsidP="00044DE7">
      <w:pPr>
        <w:tabs>
          <w:tab w:val="left" w:pos="0"/>
          <w:tab w:val="left" w:pos="709"/>
        </w:tabs>
        <w:rPr>
          <w:rFonts w:ascii="Tahoma" w:hAnsi="Tahoma" w:cs="Tahoma"/>
          <w:b/>
          <w:color w:val="365F91" w:themeColor="accent1" w:themeShade="BF"/>
        </w:rPr>
      </w:pPr>
      <w:r w:rsidRPr="00B25590">
        <w:rPr>
          <w:rFonts w:ascii="Tahoma" w:hAnsi="Tahoma" w:cs="Tahoma"/>
          <w:b/>
          <w:color w:val="365F91" w:themeColor="accent1" w:themeShade="BF"/>
        </w:rPr>
        <w:t>Key:</w:t>
      </w:r>
    </w:p>
    <w:p w:rsidR="00044DE7" w:rsidRPr="006066C9" w:rsidRDefault="00044DE7" w:rsidP="00044DE7">
      <w:pPr>
        <w:tabs>
          <w:tab w:val="left" w:pos="0"/>
          <w:tab w:val="left" w:pos="709"/>
        </w:tabs>
        <w:rPr>
          <w:rFonts w:ascii="Tahoma" w:hAnsi="Tahoma" w:cs="Tahoma"/>
        </w:rPr>
      </w:pPr>
    </w:p>
    <w:p w:rsidR="00044DE7" w:rsidRPr="006066C9" w:rsidRDefault="00044DE7" w:rsidP="00044DE7">
      <w:pPr>
        <w:tabs>
          <w:tab w:val="left" w:pos="0"/>
          <w:tab w:val="left" w:pos="709"/>
        </w:tabs>
        <w:rPr>
          <w:rFonts w:ascii="Tahoma" w:hAnsi="Tahoma" w:cs="Tahoma"/>
        </w:rPr>
      </w:pPr>
      <w:r w:rsidRPr="006066C9">
        <w:rPr>
          <w:rFonts w:ascii="Tahoma" w:hAnsi="Tahoma" w:cs="Tahoma"/>
        </w:rPr>
        <w:t>ELT – Extended Leadership Team</w:t>
      </w:r>
    </w:p>
    <w:p w:rsidR="00044DE7" w:rsidRPr="006066C9" w:rsidRDefault="00044DE7" w:rsidP="00044DE7">
      <w:pPr>
        <w:tabs>
          <w:tab w:val="left" w:pos="0"/>
          <w:tab w:val="left" w:pos="709"/>
        </w:tabs>
        <w:rPr>
          <w:rFonts w:ascii="Tahoma" w:hAnsi="Tahoma" w:cs="Tahoma"/>
        </w:rPr>
      </w:pPr>
      <w:r w:rsidRPr="006066C9">
        <w:rPr>
          <w:rFonts w:ascii="Tahoma" w:hAnsi="Tahoma" w:cs="Tahoma"/>
        </w:rPr>
        <w:t>PPS – Pupil Placement Scheme</w:t>
      </w:r>
    </w:p>
    <w:p w:rsidR="006422F3" w:rsidRPr="006066C9" w:rsidRDefault="00044DE7" w:rsidP="00044DE7">
      <w:pPr>
        <w:spacing w:after="0" w:line="240" w:lineRule="auto"/>
        <w:rPr>
          <w:rFonts w:ascii="Tahoma" w:hAnsi="Tahoma" w:cs="Tahoma"/>
        </w:rPr>
      </w:pPr>
      <w:r w:rsidRPr="006066C9">
        <w:rPr>
          <w:rFonts w:ascii="Tahoma" w:hAnsi="Tahoma" w:cs="Tahoma"/>
        </w:rPr>
        <w:t>PE – Physical Education</w:t>
      </w:r>
    </w:p>
    <w:p w:rsidR="00917FCC" w:rsidRPr="006066C9" w:rsidRDefault="00917FCC" w:rsidP="00917FCC">
      <w:pPr>
        <w:spacing w:after="0" w:line="240" w:lineRule="auto"/>
        <w:rPr>
          <w:rFonts w:ascii="Tahoma" w:hAnsi="Tahoma" w:cs="Tahoma"/>
        </w:rPr>
      </w:pPr>
    </w:p>
    <w:p w:rsidR="00917FCC" w:rsidRPr="006066C9" w:rsidRDefault="00917FCC" w:rsidP="00917FCC">
      <w:pPr>
        <w:spacing w:after="0" w:line="240" w:lineRule="auto"/>
        <w:rPr>
          <w:rFonts w:ascii="Tahoma" w:hAnsi="Tahoma" w:cs="Tahoma"/>
        </w:rPr>
      </w:pPr>
    </w:p>
    <w:p w:rsidR="00044DE7" w:rsidRPr="006066C9" w:rsidRDefault="00044DE7" w:rsidP="00917FCC">
      <w:pPr>
        <w:spacing w:after="0" w:line="240" w:lineRule="auto"/>
        <w:rPr>
          <w:rFonts w:ascii="Tahoma" w:hAnsi="Tahoma" w:cs="Tahoma"/>
        </w:rPr>
      </w:pPr>
    </w:p>
    <w:p w:rsidR="00044DE7" w:rsidRPr="006066C9" w:rsidRDefault="00044DE7" w:rsidP="00917FCC">
      <w:pPr>
        <w:spacing w:after="0" w:line="240" w:lineRule="auto"/>
        <w:rPr>
          <w:rFonts w:ascii="Tahoma" w:hAnsi="Tahoma" w:cs="Tahoma"/>
        </w:rPr>
      </w:pPr>
    </w:p>
    <w:p w:rsidR="00044DE7" w:rsidRPr="006066C9" w:rsidRDefault="00044DE7" w:rsidP="00917FCC">
      <w:pPr>
        <w:spacing w:after="0" w:line="240" w:lineRule="auto"/>
        <w:rPr>
          <w:rFonts w:ascii="Tahoma" w:hAnsi="Tahoma" w:cs="Tahoma"/>
        </w:rPr>
      </w:pPr>
    </w:p>
    <w:p w:rsidR="00044DE7" w:rsidRPr="006066C9" w:rsidRDefault="00044DE7" w:rsidP="00917FCC">
      <w:pPr>
        <w:spacing w:after="0" w:line="240" w:lineRule="auto"/>
        <w:rPr>
          <w:rFonts w:ascii="Tahoma" w:hAnsi="Tahoma" w:cs="Tahoma"/>
        </w:rPr>
      </w:pPr>
    </w:p>
    <w:p w:rsidR="00044DE7" w:rsidRPr="006066C9" w:rsidRDefault="00044DE7" w:rsidP="00917FCC">
      <w:pPr>
        <w:spacing w:after="0" w:line="240" w:lineRule="auto"/>
        <w:rPr>
          <w:rFonts w:ascii="Tahoma" w:hAnsi="Tahoma" w:cs="Tahoma"/>
        </w:rPr>
      </w:pPr>
    </w:p>
    <w:p w:rsidR="00044DE7" w:rsidRPr="006066C9" w:rsidRDefault="00044DE7" w:rsidP="00917FCC">
      <w:pPr>
        <w:spacing w:after="0" w:line="240" w:lineRule="auto"/>
        <w:rPr>
          <w:rFonts w:ascii="Tahoma" w:hAnsi="Tahoma" w:cs="Tahoma"/>
        </w:rPr>
      </w:pPr>
    </w:p>
    <w:p w:rsidR="00044DE7" w:rsidRPr="006066C9" w:rsidRDefault="00044DE7" w:rsidP="00917FCC">
      <w:pPr>
        <w:spacing w:after="0" w:line="240" w:lineRule="auto"/>
        <w:rPr>
          <w:rFonts w:ascii="Tahoma" w:hAnsi="Tahoma" w:cs="Tahoma"/>
        </w:rPr>
      </w:pPr>
    </w:p>
    <w:p w:rsidR="00044DE7" w:rsidRPr="006066C9" w:rsidRDefault="00044DE7" w:rsidP="00917FCC">
      <w:pPr>
        <w:spacing w:after="0" w:line="240" w:lineRule="auto"/>
        <w:rPr>
          <w:rFonts w:ascii="Tahoma" w:hAnsi="Tahoma" w:cs="Tahoma"/>
        </w:rPr>
      </w:pPr>
    </w:p>
    <w:p w:rsidR="00044DE7" w:rsidRPr="006066C9" w:rsidRDefault="00044DE7" w:rsidP="00917FCC">
      <w:pPr>
        <w:spacing w:after="0" w:line="240" w:lineRule="auto"/>
        <w:rPr>
          <w:rFonts w:ascii="Tahoma" w:hAnsi="Tahoma" w:cs="Tahoma"/>
        </w:rPr>
      </w:pPr>
    </w:p>
    <w:p w:rsidR="00917FCC" w:rsidRPr="006066C9" w:rsidRDefault="00917FCC" w:rsidP="00917FCC">
      <w:pPr>
        <w:spacing w:after="0" w:line="240" w:lineRule="auto"/>
        <w:rPr>
          <w:rFonts w:ascii="Tahoma" w:hAnsi="Tahoma" w:cs="Tahoma"/>
        </w:rPr>
      </w:pPr>
    </w:p>
    <w:p w:rsidR="00917FCC" w:rsidRPr="006066C9" w:rsidRDefault="006066C9" w:rsidP="00044DE7">
      <w:pPr>
        <w:spacing w:after="0" w:line="240" w:lineRule="auto"/>
        <w:jc w:val="center"/>
        <w:rPr>
          <w:rFonts w:ascii="Tahoma" w:hAnsi="Tahoma" w:cs="Tahoma"/>
          <w:b/>
          <w:color w:val="365F91" w:themeColor="accent1" w:themeShade="BF"/>
        </w:rPr>
      </w:pPr>
      <w:r w:rsidRPr="006066C9">
        <w:rPr>
          <w:rFonts w:ascii="Tahoma" w:hAnsi="Tahoma" w:cs="Tahoma"/>
          <w:b/>
          <w:color w:val="365F91" w:themeColor="accent1" w:themeShade="BF"/>
        </w:rPr>
        <w:t>High Expectations lead to High Achievers</w:t>
      </w:r>
    </w:p>
    <w:p w:rsidR="006066C9" w:rsidRDefault="006066C9" w:rsidP="00044DE7">
      <w:pPr>
        <w:spacing w:after="0" w:line="240" w:lineRule="auto"/>
        <w:jc w:val="center"/>
        <w:rPr>
          <w:rFonts w:ascii="Tahoma" w:hAnsi="Tahoma" w:cs="Tahoma"/>
          <w:b/>
          <w:color w:val="365F91" w:themeColor="accent1" w:themeShade="BF"/>
        </w:rPr>
      </w:pPr>
      <w:r w:rsidRPr="006066C9">
        <w:rPr>
          <w:rFonts w:ascii="Tahoma" w:hAnsi="Tahoma" w:cs="Tahoma"/>
          <w:b/>
          <w:color w:val="365F91" w:themeColor="accent1" w:themeShade="BF"/>
        </w:rPr>
        <w:t>Part of the Ambitions Academies Trust</w:t>
      </w:r>
    </w:p>
    <w:p w:rsidR="006066C9" w:rsidRDefault="006066C9" w:rsidP="00044DE7">
      <w:pPr>
        <w:spacing w:after="0" w:line="240" w:lineRule="auto"/>
        <w:jc w:val="center"/>
        <w:rPr>
          <w:rFonts w:ascii="Tahoma" w:hAnsi="Tahoma" w:cs="Tahoma"/>
          <w:b/>
          <w:color w:val="365F91" w:themeColor="accent1" w:themeShade="BF"/>
        </w:rPr>
      </w:pPr>
    </w:p>
    <w:p w:rsidR="006066C9" w:rsidRDefault="006066C9" w:rsidP="00044DE7">
      <w:pPr>
        <w:spacing w:after="0" w:line="240" w:lineRule="auto"/>
        <w:jc w:val="center"/>
        <w:rPr>
          <w:rFonts w:ascii="Tahoma" w:hAnsi="Tahoma" w:cs="Tahoma"/>
          <w:b/>
          <w:color w:val="365F91" w:themeColor="accent1" w:themeShade="BF"/>
        </w:rPr>
      </w:pPr>
    </w:p>
    <w:p w:rsidR="006066C9" w:rsidRDefault="006066C9" w:rsidP="00044DE7">
      <w:pPr>
        <w:spacing w:after="0" w:line="240" w:lineRule="auto"/>
        <w:jc w:val="center"/>
        <w:rPr>
          <w:rFonts w:ascii="Tahoma" w:hAnsi="Tahoma" w:cs="Tahoma"/>
          <w:b/>
          <w:color w:val="365F91" w:themeColor="accent1" w:themeShade="BF"/>
        </w:rPr>
      </w:pPr>
    </w:p>
    <w:p w:rsidR="006066C9" w:rsidRDefault="006066C9" w:rsidP="00044DE7">
      <w:pPr>
        <w:spacing w:after="0" w:line="240" w:lineRule="auto"/>
        <w:jc w:val="center"/>
        <w:rPr>
          <w:rFonts w:ascii="Tahoma" w:hAnsi="Tahoma" w:cs="Tahoma"/>
          <w:b/>
          <w:color w:val="365F91" w:themeColor="accent1" w:themeShade="BF"/>
        </w:rPr>
      </w:pPr>
    </w:p>
    <w:p w:rsidR="006066C9" w:rsidRDefault="006066C9" w:rsidP="00044DE7">
      <w:pPr>
        <w:spacing w:after="0" w:line="240" w:lineRule="auto"/>
        <w:jc w:val="center"/>
        <w:rPr>
          <w:rFonts w:ascii="Tahoma" w:hAnsi="Tahoma" w:cs="Tahoma"/>
          <w:b/>
          <w:color w:val="365F91" w:themeColor="accent1" w:themeShade="BF"/>
        </w:rPr>
      </w:pPr>
    </w:p>
    <w:p w:rsidR="006066C9" w:rsidRDefault="006066C9" w:rsidP="00044DE7">
      <w:pPr>
        <w:spacing w:after="0" w:line="240" w:lineRule="auto"/>
        <w:jc w:val="center"/>
        <w:rPr>
          <w:rFonts w:ascii="Tahoma" w:hAnsi="Tahoma" w:cs="Tahoma"/>
          <w:b/>
          <w:color w:val="365F91" w:themeColor="accent1" w:themeShade="BF"/>
        </w:rPr>
      </w:pPr>
    </w:p>
    <w:p w:rsidR="006066C9" w:rsidRPr="006066C9" w:rsidRDefault="006066C9" w:rsidP="006066C9">
      <w:pPr>
        <w:spacing w:after="0" w:line="240" w:lineRule="auto"/>
        <w:jc w:val="right"/>
        <w:rPr>
          <w:rFonts w:ascii="Tahoma" w:hAnsi="Tahoma" w:cs="Tahoma"/>
          <w:b/>
          <w:color w:val="365F91" w:themeColor="accent1" w:themeShade="BF"/>
        </w:rPr>
      </w:pPr>
      <w:r>
        <w:rPr>
          <w:rFonts w:ascii="Arial" w:eastAsia="Calibri" w:hAnsi="Arial" w:cs="Arial"/>
          <w:noProof/>
          <w:sz w:val="15"/>
          <w:szCs w:val="15"/>
          <w:lang w:eastAsia="en-GB"/>
        </w:rPr>
        <w:drawing>
          <wp:inline distT="0" distB="0" distL="0" distR="0">
            <wp:extent cx="952500" cy="79433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4088" cy="795655"/>
                    </a:xfrm>
                    <a:prstGeom prst="rect">
                      <a:avLst/>
                    </a:prstGeom>
                    <a:noFill/>
                  </pic:spPr>
                </pic:pic>
              </a:graphicData>
            </a:graphic>
          </wp:inline>
        </w:drawing>
      </w:r>
    </w:p>
    <w:sectPr w:rsidR="006066C9" w:rsidRPr="006066C9" w:rsidSect="00997A76">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2AE" w:rsidRDefault="007B72AE" w:rsidP="006422F3">
      <w:pPr>
        <w:spacing w:after="0" w:line="240" w:lineRule="auto"/>
      </w:pPr>
      <w:r>
        <w:separator/>
      </w:r>
    </w:p>
  </w:endnote>
  <w:endnote w:type="continuationSeparator" w:id="0">
    <w:p w:rsidR="007B72AE" w:rsidRDefault="007B72AE" w:rsidP="00642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6147713"/>
      <w:docPartObj>
        <w:docPartGallery w:val="Page Numbers (Bottom of Page)"/>
        <w:docPartUnique/>
      </w:docPartObj>
    </w:sdtPr>
    <w:sdtContent>
      <w:sdt>
        <w:sdtPr>
          <w:id w:val="98381352"/>
          <w:docPartObj>
            <w:docPartGallery w:val="Page Numbers (Top of Page)"/>
            <w:docPartUnique/>
          </w:docPartObj>
        </w:sdtPr>
        <w:sdtContent>
          <w:p w:rsidR="006066C9" w:rsidRDefault="006066C9">
            <w:pPr>
              <w:pStyle w:val="Footer"/>
            </w:pPr>
            <w:r w:rsidRPr="006066C9">
              <w:rPr>
                <w:rFonts w:ascii="Tahoma" w:hAnsi="Tahoma" w:cs="Tahoma"/>
              </w:rPr>
              <w:t xml:space="preserve">Page </w:t>
            </w:r>
            <w:r w:rsidRPr="006066C9">
              <w:rPr>
                <w:rFonts w:ascii="Tahoma" w:hAnsi="Tahoma" w:cs="Tahoma"/>
                <w:b/>
                <w:bCs/>
              </w:rPr>
              <w:fldChar w:fldCharType="begin"/>
            </w:r>
            <w:r w:rsidRPr="006066C9">
              <w:rPr>
                <w:rFonts w:ascii="Tahoma" w:hAnsi="Tahoma" w:cs="Tahoma"/>
                <w:b/>
                <w:bCs/>
              </w:rPr>
              <w:instrText xml:space="preserve"> PAGE </w:instrText>
            </w:r>
            <w:r w:rsidRPr="006066C9">
              <w:rPr>
                <w:rFonts w:ascii="Tahoma" w:hAnsi="Tahoma" w:cs="Tahoma"/>
                <w:b/>
                <w:bCs/>
              </w:rPr>
              <w:fldChar w:fldCharType="separate"/>
            </w:r>
            <w:r w:rsidR="00B25590">
              <w:rPr>
                <w:rFonts w:ascii="Tahoma" w:hAnsi="Tahoma" w:cs="Tahoma"/>
                <w:b/>
                <w:bCs/>
                <w:noProof/>
              </w:rPr>
              <w:t>1</w:t>
            </w:r>
            <w:r w:rsidRPr="006066C9">
              <w:rPr>
                <w:rFonts w:ascii="Tahoma" w:hAnsi="Tahoma" w:cs="Tahoma"/>
                <w:b/>
                <w:bCs/>
              </w:rPr>
              <w:fldChar w:fldCharType="end"/>
            </w:r>
            <w:r w:rsidRPr="006066C9">
              <w:rPr>
                <w:rFonts w:ascii="Tahoma" w:hAnsi="Tahoma" w:cs="Tahoma"/>
              </w:rPr>
              <w:t xml:space="preserve"> of </w:t>
            </w:r>
            <w:r w:rsidRPr="006066C9">
              <w:rPr>
                <w:rFonts w:ascii="Tahoma" w:hAnsi="Tahoma" w:cs="Tahoma"/>
                <w:b/>
                <w:bCs/>
              </w:rPr>
              <w:fldChar w:fldCharType="begin"/>
            </w:r>
            <w:r w:rsidRPr="006066C9">
              <w:rPr>
                <w:rFonts w:ascii="Tahoma" w:hAnsi="Tahoma" w:cs="Tahoma"/>
                <w:b/>
                <w:bCs/>
              </w:rPr>
              <w:instrText xml:space="preserve"> NUMPAGES  </w:instrText>
            </w:r>
            <w:r w:rsidRPr="006066C9">
              <w:rPr>
                <w:rFonts w:ascii="Tahoma" w:hAnsi="Tahoma" w:cs="Tahoma"/>
                <w:b/>
                <w:bCs/>
              </w:rPr>
              <w:fldChar w:fldCharType="separate"/>
            </w:r>
            <w:r w:rsidR="00B25590">
              <w:rPr>
                <w:rFonts w:ascii="Tahoma" w:hAnsi="Tahoma" w:cs="Tahoma"/>
                <w:b/>
                <w:bCs/>
                <w:noProof/>
              </w:rPr>
              <w:t>3</w:t>
            </w:r>
            <w:r w:rsidRPr="006066C9">
              <w:rPr>
                <w:rFonts w:ascii="Tahoma" w:hAnsi="Tahoma" w:cs="Tahoma"/>
                <w:b/>
                <w:bCs/>
              </w:rPr>
              <w:fldChar w:fldCharType="end"/>
            </w:r>
          </w:p>
        </w:sdtContent>
      </w:sdt>
    </w:sdtContent>
  </w:sdt>
  <w:p w:rsidR="007B72AE" w:rsidRDefault="007B72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2AE" w:rsidRDefault="007B72AE" w:rsidP="006422F3">
      <w:pPr>
        <w:spacing w:after="0" w:line="240" w:lineRule="auto"/>
      </w:pPr>
      <w:r>
        <w:separator/>
      </w:r>
    </w:p>
  </w:footnote>
  <w:footnote w:type="continuationSeparator" w:id="0">
    <w:p w:rsidR="007B72AE" w:rsidRDefault="007B72AE" w:rsidP="006422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E6B77"/>
    <w:multiLevelType w:val="hybridMultilevel"/>
    <w:tmpl w:val="42B0C5C8"/>
    <w:lvl w:ilvl="0" w:tplc="08090017">
      <w:start w:val="1"/>
      <w:numFmt w:val="lowerLetter"/>
      <w:lvlText w:val="%1)"/>
      <w:lvlJc w:val="left"/>
      <w:pPr>
        <w:ind w:left="720" w:hanging="360"/>
      </w:pPr>
    </w:lvl>
    <w:lvl w:ilvl="1" w:tplc="1B0AA64E">
      <w:numFmt w:val="bullet"/>
      <w:lvlText w:val=""/>
      <w:lvlJc w:val="left"/>
      <w:pPr>
        <w:ind w:left="1440" w:hanging="360"/>
      </w:pPr>
      <w:rPr>
        <w:rFonts w:ascii="Tahoma" w:eastAsiaTheme="minorHAnsi" w:hAnsi="Tahoma" w:cs="Tahoma"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53D1F5D"/>
    <w:multiLevelType w:val="hybridMultilevel"/>
    <w:tmpl w:val="293E84FC"/>
    <w:lvl w:ilvl="0" w:tplc="564ADA10">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2569C6"/>
    <w:multiLevelType w:val="hybridMultilevel"/>
    <w:tmpl w:val="4644F03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F15458D"/>
    <w:multiLevelType w:val="hybridMultilevel"/>
    <w:tmpl w:val="E33611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F3F12EB"/>
    <w:multiLevelType w:val="hybridMultilevel"/>
    <w:tmpl w:val="CE0894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36B3331"/>
    <w:multiLevelType w:val="hybridMultilevel"/>
    <w:tmpl w:val="3E7EE81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8BB425E"/>
    <w:multiLevelType w:val="hybridMultilevel"/>
    <w:tmpl w:val="BAF247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FB576EB"/>
    <w:multiLevelType w:val="hybridMultilevel"/>
    <w:tmpl w:val="D74042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53328CF"/>
    <w:multiLevelType w:val="hybridMultilevel"/>
    <w:tmpl w:val="710C603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F2104F4"/>
    <w:multiLevelType w:val="multilevel"/>
    <w:tmpl w:val="BC5EE4E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1191" w:hanging="1021"/>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72130652"/>
    <w:multiLevelType w:val="hybridMultilevel"/>
    <w:tmpl w:val="6C00BC8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3957B6E"/>
    <w:multiLevelType w:val="hybridMultilevel"/>
    <w:tmpl w:val="1C0E88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4011708"/>
    <w:multiLevelType w:val="hybridMultilevel"/>
    <w:tmpl w:val="80FA5BB6"/>
    <w:lvl w:ilvl="0" w:tplc="E452C1A6">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41112CC"/>
    <w:multiLevelType w:val="hybridMultilevel"/>
    <w:tmpl w:val="9F9CA07E"/>
    <w:lvl w:ilvl="0" w:tplc="78306F44">
      <w:start w:val="1"/>
      <w:numFmt w:val="decimal"/>
      <w:lvlText w:val="%1."/>
      <w:lvlJc w:val="left"/>
      <w:pPr>
        <w:tabs>
          <w:tab w:val="num" w:pos="360"/>
        </w:tabs>
        <w:ind w:left="360" w:hanging="360"/>
      </w:pPr>
      <w:rPr>
        <w:rFonts w:hint="default"/>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76C93DE7"/>
    <w:multiLevelType w:val="hybridMultilevel"/>
    <w:tmpl w:val="865E258E"/>
    <w:lvl w:ilvl="0" w:tplc="C50CD5E0">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8"/>
  </w:num>
  <w:num w:numId="4">
    <w:abstractNumId w:val="0"/>
  </w:num>
  <w:num w:numId="5">
    <w:abstractNumId w:val="14"/>
  </w:num>
  <w:num w:numId="6">
    <w:abstractNumId w:val="5"/>
  </w:num>
  <w:num w:numId="7">
    <w:abstractNumId w:val="12"/>
  </w:num>
  <w:num w:numId="8">
    <w:abstractNumId w:val="6"/>
  </w:num>
  <w:num w:numId="9">
    <w:abstractNumId w:val="10"/>
  </w:num>
  <w:num w:numId="10">
    <w:abstractNumId w:val="11"/>
  </w:num>
  <w:num w:numId="11">
    <w:abstractNumId w:val="2"/>
  </w:num>
  <w:num w:numId="12">
    <w:abstractNumId w:val="7"/>
  </w:num>
  <w:num w:numId="13">
    <w:abstractNumId w:val="3"/>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2F3"/>
    <w:rsid w:val="000373C3"/>
    <w:rsid w:val="00044DE7"/>
    <w:rsid w:val="0009682E"/>
    <w:rsid w:val="006066C9"/>
    <w:rsid w:val="00610C77"/>
    <w:rsid w:val="006422F3"/>
    <w:rsid w:val="00662ADC"/>
    <w:rsid w:val="006B220D"/>
    <w:rsid w:val="007B72AE"/>
    <w:rsid w:val="007D5C23"/>
    <w:rsid w:val="008F06A6"/>
    <w:rsid w:val="00917FCC"/>
    <w:rsid w:val="00997A76"/>
    <w:rsid w:val="00B25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22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22F3"/>
  </w:style>
  <w:style w:type="paragraph" w:styleId="Footer">
    <w:name w:val="footer"/>
    <w:basedOn w:val="Normal"/>
    <w:link w:val="FooterChar"/>
    <w:uiPriority w:val="99"/>
    <w:unhideWhenUsed/>
    <w:rsid w:val="006422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22F3"/>
  </w:style>
  <w:style w:type="table" w:styleId="TableGrid">
    <w:name w:val="Table Grid"/>
    <w:basedOn w:val="TableNormal"/>
    <w:uiPriority w:val="59"/>
    <w:rsid w:val="006422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422F3"/>
    <w:pPr>
      <w:ind w:left="720"/>
      <w:contextualSpacing/>
    </w:pPr>
  </w:style>
  <w:style w:type="paragraph" w:styleId="BalloonText">
    <w:name w:val="Balloon Text"/>
    <w:basedOn w:val="Normal"/>
    <w:link w:val="BalloonTextChar"/>
    <w:uiPriority w:val="99"/>
    <w:semiHidden/>
    <w:unhideWhenUsed/>
    <w:rsid w:val="00662A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A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22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22F3"/>
  </w:style>
  <w:style w:type="paragraph" w:styleId="Footer">
    <w:name w:val="footer"/>
    <w:basedOn w:val="Normal"/>
    <w:link w:val="FooterChar"/>
    <w:uiPriority w:val="99"/>
    <w:unhideWhenUsed/>
    <w:rsid w:val="006422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22F3"/>
  </w:style>
  <w:style w:type="table" w:styleId="TableGrid">
    <w:name w:val="Table Grid"/>
    <w:basedOn w:val="TableNormal"/>
    <w:uiPriority w:val="59"/>
    <w:rsid w:val="006422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422F3"/>
    <w:pPr>
      <w:ind w:left="720"/>
      <w:contextualSpacing/>
    </w:pPr>
  </w:style>
  <w:style w:type="paragraph" w:styleId="BalloonText">
    <w:name w:val="Balloon Text"/>
    <w:basedOn w:val="Normal"/>
    <w:link w:val="BalloonTextChar"/>
    <w:uiPriority w:val="99"/>
    <w:semiHidden/>
    <w:unhideWhenUsed/>
    <w:rsid w:val="00662A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A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aat993ef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454</Words>
  <Characters>2594</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Wigg</dc:creator>
  <cp:lastModifiedBy>Jane Taylor</cp:lastModifiedBy>
  <cp:revision>2</cp:revision>
  <cp:lastPrinted>2014-03-10T12:26:00Z</cp:lastPrinted>
  <dcterms:created xsi:type="dcterms:W3CDTF">2015-09-29T13:09:00Z</dcterms:created>
  <dcterms:modified xsi:type="dcterms:W3CDTF">2015-09-29T13:09:00Z</dcterms:modified>
</cp:coreProperties>
</file>